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DAB" w:rsidRPr="00552DAB" w:rsidRDefault="00552DAB" w:rsidP="00552DAB">
      <w:pPr>
        <w:spacing w:after="0" w:line="240" w:lineRule="auto"/>
        <w:contextualSpacing/>
        <w:jc w:val="center"/>
        <w:rPr>
          <w:b/>
          <w:sz w:val="20"/>
          <w:szCs w:val="20"/>
        </w:rPr>
      </w:pPr>
      <w:r w:rsidRPr="00552DAB">
        <w:rPr>
          <w:b/>
          <w:sz w:val="20"/>
          <w:szCs w:val="20"/>
        </w:rPr>
        <w:t>Table 01</w:t>
      </w:r>
    </w:p>
    <w:tbl>
      <w:tblPr>
        <w:tblW w:w="5505" w:type="dxa"/>
        <w:jc w:val="center"/>
        <w:tblInd w:w="93" w:type="dxa"/>
        <w:tblLook w:val="04A0" w:firstRow="1" w:lastRow="0" w:firstColumn="1" w:lastColumn="0" w:noHBand="0" w:noVBand="1"/>
      </w:tblPr>
      <w:tblGrid>
        <w:gridCol w:w="2507"/>
        <w:gridCol w:w="1023"/>
        <w:gridCol w:w="1975"/>
      </w:tblGrid>
      <w:tr w:rsidR="00552DAB" w:rsidRPr="00552DAB" w:rsidTr="00100BA7">
        <w:trPr>
          <w:trHeight w:val="287"/>
          <w:jc w:val="center"/>
        </w:trPr>
        <w:tc>
          <w:tcPr>
            <w:tcW w:w="5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2DAB" w:rsidRPr="00552DAB" w:rsidRDefault="00552DAB" w:rsidP="0055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552D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Chemicals used for Titration of </w:t>
            </w:r>
            <w:proofErr w:type="spellStart"/>
            <w:r w:rsidRPr="00552D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NaOH</w:t>
            </w:r>
            <w:proofErr w:type="spellEnd"/>
            <w:r w:rsidRPr="00552D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Lab</w:t>
            </w:r>
          </w:p>
        </w:tc>
      </w:tr>
      <w:tr w:rsidR="00552DAB" w:rsidRPr="00552DAB" w:rsidTr="00552DAB">
        <w:trPr>
          <w:trHeight w:val="240"/>
          <w:jc w:val="center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DAB" w:rsidRPr="00552DAB" w:rsidRDefault="00552DAB" w:rsidP="0055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52DA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DAB" w:rsidRPr="00552DAB" w:rsidRDefault="00552DAB" w:rsidP="0055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52DA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Formula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DAB" w:rsidRPr="00552DAB" w:rsidRDefault="00552DAB" w:rsidP="0055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52DA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Molar Mass (g/</w:t>
            </w:r>
            <w:proofErr w:type="spellStart"/>
            <w:r w:rsidRPr="00552DA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mol</w:t>
            </w:r>
            <w:proofErr w:type="spellEnd"/>
            <w:r w:rsidRPr="00552DA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)</w:t>
            </w:r>
          </w:p>
        </w:tc>
      </w:tr>
      <w:tr w:rsidR="00552DAB" w:rsidRPr="00552DAB" w:rsidTr="00552DAB">
        <w:trPr>
          <w:trHeight w:val="240"/>
          <w:jc w:val="center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DAB" w:rsidRPr="00552DAB" w:rsidRDefault="00552DAB" w:rsidP="0055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52DA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Acetic Acid (Vinegar)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DAB" w:rsidRPr="00552DAB" w:rsidRDefault="00552DAB" w:rsidP="0055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52DA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CH3COOH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DAB" w:rsidRPr="00552DAB" w:rsidRDefault="00552DAB" w:rsidP="0055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52DA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60.05</w:t>
            </w:r>
          </w:p>
        </w:tc>
      </w:tr>
      <w:tr w:rsidR="00552DAB" w:rsidRPr="00552DAB" w:rsidTr="00552DAB">
        <w:trPr>
          <w:trHeight w:val="240"/>
          <w:jc w:val="center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DAB" w:rsidRPr="00552DAB" w:rsidRDefault="00552DAB" w:rsidP="0055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52DA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Sodium Hydroxide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DAB" w:rsidRPr="00552DAB" w:rsidRDefault="00552DAB" w:rsidP="0055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552DA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NaOH</w:t>
            </w:r>
            <w:proofErr w:type="spellEnd"/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DAB" w:rsidRPr="00552DAB" w:rsidRDefault="00552DAB" w:rsidP="0055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52DA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40.00</w:t>
            </w:r>
          </w:p>
        </w:tc>
      </w:tr>
      <w:tr w:rsidR="00552DAB" w:rsidRPr="00552DAB" w:rsidTr="00552DAB">
        <w:trPr>
          <w:trHeight w:val="240"/>
          <w:jc w:val="center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DAB" w:rsidRPr="00552DAB" w:rsidRDefault="00552DAB" w:rsidP="0055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52DA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Potassium Hydrogen Phthalate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DAB" w:rsidRPr="00552DAB" w:rsidRDefault="00552DAB" w:rsidP="0055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52DA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KHC8H4O4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DAB" w:rsidRPr="00552DAB" w:rsidRDefault="00552DAB" w:rsidP="0055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52DA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204.23</w:t>
            </w:r>
          </w:p>
        </w:tc>
      </w:tr>
    </w:tbl>
    <w:p w:rsidR="00552DAB" w:rsidRPr="00552DAB" w:rsidRDefault="00552DAB" w:rsidP="00552DAB">
      <w:pPr>
        <w:spacing w:after="0" w:line="240" w:lineRule="auto"/>
        <w:contextualSpacing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This is a table that displays the relevant properties for the chemicals used in the lab</w:t>
      </w:r>
    </w:p>
    <w:p w:rsidR="00552DAB" w:rsidRDefault="00552DAB" w:rsidP="00552DAB">
      <w:pPr>
        <w:spacing w:after="0" w:line="240" w:lineRule="auto"/>
        <w:contextualSpacing/>
        <w:jc w:val="center"/>
        <w:rPr>
          <w:sz w:val="20"/>
          <w:szCs w:val="20"/>
        </w:rPr>
      </w:pPr>
    </w:p>
    <w:p w:rsidR="00552DAB" w:rsidRPr="00552DAB" w:rsidRDefault="00552DAB" w:rsidP="00552DAB">
      <w:pPr>
        <w:spacing w:after="0" w:line="240" w:lineRule="auto"/>
        <w:contextualSpacing/>
        <w:jc w:val="center"/>
        <w:rPr>
          <w:b/>
          <w:sz w:val="20"/>
          <w:szCs w:val="20"/>
        </w:rPr>
      </w:pPr>
      <w:r w:rsidRPr="00552DAB">
        <w:rPr>
          <w:b/>
          <w:sz w:val="20"/>
          <w:szCs w:val="20"/>
        </w:rPr>
        <w:t>Table 02</w:t>
      </w:r>
    </w:p>
    <w:tbl>
      <w:tblPr>
        <w:tblW w:w="8180" w:type="dxa"/>
        <w:jc w:val="center"/>
        <w:tblInd w:w="93" w:type="dxa"/>
        <w:tblLook w:val="04A0" w:firstRow="1" w:lastRow="0" w:firstColumn="1" w:lastColumn="0" w:noHBand="0" w:noVBand="1"/>
      </w:tblPr>
      <w:tblGrid>
        <w:gridCol w:w="2737"/>
        <w:gridCol w:w="1030"/>
        <w:gridCol w:w="1030"/>
        <w:gridCol w:w="1030"/>
        <w:gridCol w:w="2353"/>
      </w:tblGrid>
      <w:tr w:rsidR="00D00BDE" w:rsidRPr="00D00BDE" w:rsidTr="00100BA7">
        <w:trPr>
          <w:trHeight w:val="300"/>
          <w:jc w:val="center"/>
        </w:trPr>
        <w:tc>
          <w:tcPr>
            <w:tcW w:w="8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Titration for the </w:t>
            </w:r>
            <w:r w:rsidR="00B4607E" w:rsidRPr="00D00B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Standardization</w:t>
            </w:r>
            <w:r w:rsidRPr="00D00B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D00B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NaOH</w:t>
            </w:r>
            <w:proofErr w:type="spellEnd"/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Trial 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Trial 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Trial 3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Mass KHP (g)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1.165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1.276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1.345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Moles KHP (</w:t>
            </w:r>
            <w:proofErr w:type="spellStart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</w:t>
            </w:r>
            <w:proofErr w:type="spellEnd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0.005704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0.006248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0.006586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Volume KHP (mL)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Molarity KHP (</w:t>
            </w:r>
            <w:proofErr w:type="spellStart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</w:t>
            </w:r>
            <w:proofErr w:type="spellEnd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/L)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0.05704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0.06248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0.06586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V1 </w:t>
            </w:r>
            <w:proofErr w:type="spellStart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NaOH</w:t>
            </w:r>
            <w:proofErr w:type="spellEnd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(mL)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V2 </w:t>
            </w:r>
            <w:proofErr w:type="spellStart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NaOH</w:t>
            </w:r>
            <w:proofErr w:type="spellEnd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(mL)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23.08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24.01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26.41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VT </w:t>
            </w:r>
            <w:proofErr w:type="spellStart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NaOH</w:t>
            </w:r>
            <w:proofErr w:type="spellEnd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(mL)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22.85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23.45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26.36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Avg</w:t>
            </w:r>
            <w:proofErr w:type="spellEnd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Molarity of </w:t>
            </w:r>
            <w:proofErr w:type="spellStart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NaOH</w:t>
            </w:r>
            <w:proofErr w:type="spellEnd"/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Molarity of </w:t>
            </w:r>
            <w:proofErr w:type="spellStart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NaOH</w:t>
            </w:r>
            <w:proofErr w:type="spellEnd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</w:t>
            </w:r>
            <w:proofErr w:type="spellEnd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/L)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0.2496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0.2664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0.2498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0.2553</w:t>
            </w:r>
          </w:p>
        </w:tc>
      </w:tr>
    </w:tbl>
    <w:p w:rsidR="00552DAB" w:rsidRPr="00552DAB" w:rsidRDefault="00552DAB" w:rsidP="00552DAB">
      <w:pPr>
        <w:spacing w:after="0" w:line="240" w:lineRule="auto"/>
        <w:contextualSpacing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This is table providing raw data for the Standardization of </w:t>
      </w:r>
      <w:proofErr w:type="spellStart"/>
      <w:r>
        <w:rPr>
          <w:i/>
          <w:sz w:val="20"/>
          <w:szCs w:val="20"/>
        </w:rPr>
        <w:t>NaOH</w:t>
      </w:r>
      <w:proofErr w:type="spellEnd"/>
      <w:r>
        <w:rPr>
          <w:i/>
          <w:sz w:val="20"/>
          <w:szCs w:val="20"/>
        </w:rPr>
        <w:t xml:space="preserve"> using KHP. The average molarity of </w:t>
      </w:r>
      <w:proofErr w:type="spellStart"/>
      <w:r>
        <w:rPr>
          <w:i/>
          <w:sz w:val="20"/>
          <w:szCs w:val="20"/>
        </w:rPr>
        <w:t>NaOH</w:t>
      </w:r>
      <w:proofErr w:type="spellEnd"/>
      <w:r>
        <w:rPr>
          <w:i/>
          <w:sz w:val="20"/>
          <w:szCs w:val="20"/>
        </w:rPr>
        <w:t xml:space="preserve"> was then used to </w:t>
      </w:r>
      <w:proofErr w:type="gramStart"/>
      <w:r>
        <w:rPr>
          <w:i/>
          <w:sz w:val="20"/>
          <w:szCs w:val="20"/>
        </w:rPr>
        <w:t>titrate</w:t>
      </w:r>
      <w:proofErr w:type="gramEnd"/>
      <w:r>
        <w:rPr>
          <w:i/>
          <w:sz w:val="20"/>
          <w:szCs w:val="20"/>
        </w:rPr>
        <w:t xml:space="preserve"> a known volume of acetic acid (vinegar) </w:t>
      </w:r>
    </w:p>
    <w:p w:rsidR="00552DAB" w:rsidRDefault="00552DAB" w:rsidP="00552DAB">
      <w:pPr>
        <w:spacing w:after="0" w:line="240" w:lineRule="auto"/>
        <w:contextualSpacing/>
        <w:jc w:val="center"/>
        <w:rPr>
          <w:sz w:val="20"/>
          <w:szCs w:val="20"/>
        </w:rPr>
      </w:pPr>
    </w:p>
    <w:p w:rsidR="00552DAB" w:rsidRPr="00552DAB" w:rsidRDefault="00552DAB" w:rsidP="00552DAB">
      <w:pPr>
        <w:spacing w:after="0" w:line="240" w:lineRule="auto"/>
        <w:contextualSpacing/>
        <w:jc w:val="center"/>
        <w:rPr>
          <w:b/>
          <w:sz w:val="20"/>
          <w:szCs w:val="20"/>
        </w:rPr>
      </w:pPr>
      <w:r w:rsidRPr="00552DAB">
        <w:rPr>
          <w:b/>
          <w:sz w:val="20"/>
          <w:szCs w:val="20"/>
        </w:rPr>
        <w:t>Table 03</w:t>
      </w:r>
    </w:p>
    <w:tbl>
      <w:tblPr>
        <w:tblW w:w="9500" w:type="dxa"/>
        <w:jc w:val="center"/>
        <w:tblInd w:w="93" w:type="dxa"/>
        <w:tblLook w:val="04A0" w:firstRow="1" w:lastRow="0" w:firstColumn="1" w:lastColumn="0" w:noHBand="0" w:noVBand="1"/>
      </w:tblPr>
      <w:tblGrid>
        <w:gridCol w:w="2766"/>
        <w:gridCol w:w="801"/>
        <w:gridCol w:w="801"/>
        <w:gridCol w:w="801"/>
        <w:gridCol w:w="801"/>
        <w:gridCol w:w="801"/>
        <w:gridCol w:w="2729"/>
      </w:tblGrid>
      <w:tr w:rsidR="00D00BDE" w:rsidRPr="00D00BDE" w:rsidTr="00100BA7">
        <w:trPr>
          <w:trHeight w:val="300"/>
          <w:jc w:val="center"/>
        </w:trPr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Titration of Vinegar by </w:t>
            </w:r>
            <w:proofErr w:type="spellStart"/>
            <w:r w:rsidRPr="00D00B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NaOH</w:t>
            </w:r>
            <w:proofErr w:type="spellEnd"/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Trial 1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Trial 2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Trial 3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Trial 4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Trial 5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Molarity </w:t>
            </w:r>
            <w:proofErr w:type="spellStart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NaOH</w:t>
            </w:r>
            <w:proofErr w:type="spellEnd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</w:t>
            </w:r>
            <w:proofErr w:type="spellEnd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/L)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0.2553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0.2553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0.2553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0.2553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0.2553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V1 </w:t>
            </w:r>
            <w:proofErr w:type="spellStart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NaOH</w:t>
            </w:r>
            <w:proofErr w:type="spellEnd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(mL)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5.70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V2 </w:t>
            </w:r>
            <w:proofErr w:type="spellStart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NaOH</w:t>
            </w:r>
            <w:proofErr w:type="spellEnd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(mL)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33.95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43.69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29.89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32.65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40.10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VT </w:t>
            </w:r>
            <w:proofErr w:type="spellStart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NaOH</w:t>
            </w:r>
            <w:proofErr w:type="spellEnd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(mL)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33.60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43.61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29.64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32.64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34.40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AVG Molarity of Vinegar</w:t>
            </w:r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Molarity Vinegar (</w:t>
            </w:r>
            <w:proofErr w:type="spellStart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</w:t>
            </w:r>
            <w:proofErr w:type="spellEnd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/L)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0.8535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0.9089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0.7915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0.8375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0.8782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0.8539</w:t>
            </w:r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Volume Vinegar (mL)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10.05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12.25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9.56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9.95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10.00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552DAB" w:rsidRPr="00552DAB" w:rsidRDefault="00552DAB" w:rsidP="00552DAB">
      <w:pPr>
        <w:spacing w:after="0" w:line="240" w:lineRule="auto"/>
        <w:contextualSpacing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This is a table providing raw data for the titration of Vinegar (acetic acid) with </w:t>
      </w:r>
      <w:proofErr w:type="spellStart"/>
      <w:r>
        <w:rPr>
          <w:i/>
          <w:sz w:val="20"/>
          <w:szCs w:val="20"/>
        </w:rPr>
        <w:t>NaOH</w:t>
      </w:r>
      <w:proofErr w:type="spellEnd"/>
      <w:r>
        <w:rPr>
          <w:i/>
          <w:sz w:val="20"/>
          <w:szCs w:val="20"/>
        </w:rPr>
        <w:t>. The average molarity of vinegar was then used to determine the percent by mass of acetic acid in vinegar.</w:t>
      </w:r>
    </w:p>
    <w:p w:rsidR="00552DAB" w:rsidRDefault="00552DAB" w:rsidP="00552DAB">
      <w:pPr>
        <w:spacing w:after="0" w:line="240" w:lineRule="auto"/>
        <w:contextualSpacing/>
        <w:jc w:val="center"/>
        <w:rPr>
          <w:sz w:val="20"/>
          <w:szCs w:val="20"/>
        </w:rPr>
      </w:pPr>
    </w:p>
    <w:p w:rsidR="00552DAB" w:rsidRPr="00552DAB" w:rsidRDefault="00552DAB" w:rsidP="00552DAB">
      <w:pPr>
        <w:spacing w:after="0" w:line="240" w:lineRule="auto"/>
        <w:contextualSpacing/>
        <w:jc w:val="center"/>
        <w:rPr>
          <w:b/>
          <w:sz w:val="20"/>
          <w:szCs w:val="20"/>
        </w:rPr>
      </w:pPr>
      <w:r w:rsidRPr="00552DAB">
        <w:rPr>
          <w:b/>
          <w:sz w:val="20"/>
          <w:szCs w:val="20"/>
        </w:rPr>
        <w:t>Table 04</w:t>
      </w:r>
    </w:p>
    <w:tbl>
      <w:tblPr>
        <w:tblW w:w="6540" w:type="dxa"/>
        <w:jc w:val="center"/>
        <w:tblInd w:w="93" w:type="dxa"/>
        <w:tblLook w:val="04A0" w:firstRow="1" w:lastRow="0" w:firstColumn="1" w:lastColumn="0" w:noHBand="0" w:noVBand="1"/>
      </w:tblPr>
      <w:tblGrid>
        <w:gridCol w:w="2409"/>
        <w:gridCol w:w="1315"/>
        <w:gridCol w:w="1132"/>
        <w:gridCol w:w="1693"/>
      </w:tblGrid>
      <w:tr w:rsidR="00D00BDE" w:rsidRPr="00D00BDE" w:rsidTr="00100BA7">
        <w:trPr>
          <w:trHeight w:val="300"/>
          <w:jc w:val="center"/>
        </w:trPr>
        <w:tc>
          <w:tcPr>
            <w:tcW w:w="6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Experimental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Theoretical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Percent Error (%)</w:t>
            </w:r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Molarity </w:t>
            </w:r>
            <w:proofErr w:type="spellStart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NaOH</w:t>
            </w:r>
            <w:proofErr w:type="spellEnd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</w:t>
            </w:r>
            <w:proofErr w:type="spellEnd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/L)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0.2553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14.90%</w:t>
            </w:r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Molarity Vinegar (</w:t>
            </w:r>
            <w:proofErr w:type="spellStart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</w:t>
            </w:r>
            <w:proofErr w:type="spellEnd"/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/L)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0.8539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2.88%</w:t>
            </w:r>
          </w:p>
        </w:tc>
      </w:tr>
      <w:tr w:rsidR="00D00BDE" w:rsidRPr="00D00BDE" w:rsidTr="00D00BDE">
        <w:trPr>
          <w:trHeight w:val="300"/>
          <w:jc w:val="center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%Acetic Acid in Vinegar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5.128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BDE" w:rsidRPr="00D00BDE" w:rsidRDefault="00D00BDE" w:rsidP="00D00B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00B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2.55%</w:t>
            </w:r>
          </w:p>
        </w:tc>
      </w:tr>
    </w:tbl>
    <w:p w:rsidR="00552DAB" w:rsidRPr="00552DAB" w:rsidRDefault="00552DAB" w:rsidP="00552DAB">
      <w:pPr>
        <w:spacing w:after="0" w:line="240" w:lineRule="auto"/>
        <w:contextualSpacing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This is a table to display the major results of the Titration Lab</w:t>
      </w:r>
    </w:p>
    <w:p w:rsidR="00552DAB" w:rsidRDefault="00552DAB" w:rsidP="00552DAB">
      <w:pPr>
        <w:spacing w:after="0" w:line="240" w:lineRule="auto"/>
        <w:contextualSpacing/>
        <w:jc w:val="center"/>
        <w:rPr>
          <w:sz w:val="20"/>
          <w:szCs w:val="20"/>
        </w:rPr>
      </w:pPr>
    </w:p>
    <w:p w:rsidR="0069435C" w:rsidRDefault="0069435C" w:rsidP="00552DAB">
      <w:pPr>
        <w:spacing w:after="0" w:line="240" w:lineRule="auto"/>
        <w:contextualSpacing/>
        <w:jc w:val="center"/>
        <w:rPr>
          <w:sz w:val="20"/>
          <w:szCs w:val="20"/>
        </w:rPr>
      </w:pPr>
    </w:p>
    <w:p w:rsidR="0069435C" w:rsidRDefault="0069435C" w:rsidP="00552DAB">
      <w:pPr>
        <w:spacing w:after="0" w:line="240" w:lineRule="auto"/>
        <w:contextualSpacing/>
        <w:jc w:val="center"/>
        <w:rPr>
          <w:sz w:val="20"/>
          <w:szCs w:val="20"/>
        </w:rPr>
      </w:pPr>
    </w:p>
    <w:p w:rsidR="0069435C" w:rsidRDefault="0069435C" w:rsidP="00552DAB">
      <w:pPr>
        <w:spacing w:after="0" w:line="240" w:lineRule="auto"/>
        <w:contextualSpacing/>
        <w:jc w:val="center"/>
        <w:rPr>
          <w:sz w:val="20"/>
          <w:szCs w:val="20"/>
        </w:rPr>
      </w:pPr>
    </w:p>
    <w:p w:rsidR="0069435C" w:rsidRDefault="0069435C" w:rsidP="00552DAB">
      <w:pPr>
        <w:spacing w:after="0" w:line="240" w:lineRule="auto"/>
        <w:contextualSpacing/>
        <w:jc w:val="center"/>
        <w:rPr>
          <w:sz w:val="20"/>
          <w:szCs w:val="20"/>
        </w:rPr>
      </w:pPr>
    </w:p>
    <w:p w:rsidR="0069435C" w:rsidRDefault="0069435C" w:rsidP="00552DAB">
      <w:pPr>
        <w:spacing w:after="0" w:line="240" w:lineRule="auto"/>
        <w:contextualSpacing/>
        <w:jc w:val="center"/>
        <w:rPr>
          <w:sz w:val="20"/>
          <w:szCs w:val="20"/>
        </w:rPr>
      </w:pPr>
    </w:p>
    <w:p w:rsidR="0069435C" w:rsidRDefault="0069435C" w:rsidP="00552DAB">
      <w:pPr>
        <w:spacing w:after="0" w:line="240" w:lineRule="auto"/>
        <w:contextualSpacing/>
        <w:jc w:val="center"/>
        <w:rPr>
          <w:sz w:val="20"/>
          <w:szCs w:val="20"/>
        </w:rPr>
      </w:pPr>
    </w:p>
    <w:p w:rsidR="0069435C" w:rsidRDefault="0069435C" w:rsidP="00552DAB">
      <w:pPr>
        <w:spacing w:after="0" w:line="240" w:lineRule="auto"/>
        <w:contextualSpacing/>
        <w:jc w:val="center"/>
        <w:rPr>
          <w:sz w:val="20"/>
          <w:szCs w:val="20"/>
        </w:rPr>
      </w:pPr>
    </w:p>
    <w:p w:rsidR="0069435C" w:rsidRDefault="0069435C" w:rsidP="00552DAB">
      <w:pPr>
        <w:spacing w:after="0" w:line="240" w:lineRule="auto"/>
        <w:contextualSpacing/>
        <w:jc w:val="center"/>
        <w:rPr>
          <w:sz w:val="20"/>
          <w:szCs w:val="20"/>
        </w:rPr>
      </w:pPr>
    </w:p>
    <w:p w:rsidR="0069435C" w:rsidRDefault="0069435C" w:rsidP="00552DAB">
      <w:pPr>
        <w:spacing w:after="0" w:line="240" w:lineRule="auto"/>
        <w:contextualSpacing/>
        <w:jc w:val="center"/>
        <w:rPr>
          <w:sz w:val="20"/>
          <w:szCs w:val="20"/>
        </w:rPr>
      </w:pPr>
    </w:p>
    <w:p w:rsidR="0069435C" w:rsidRDefault="0069435C" w:rsidP="00552DAB">
      <w:pPr>
        <w:spacing w:after="0" w:line="240" w:lineRule="auto"/>
        <w:contextualSpacing/>
        <w:jc w:val="center"/>
        <w:rPr>
          <w:sz w:val="20"/>
          <w:szCs w:val="20"/>
        </w:rPr>
      </w:pPr>
    </w:p>
    <w:p w:rsidR="00552DAB" w:rsidRDefault="00552DAB" w:rsidP="00552DAB">
      <w:pPr>
        <w:spacing w:after="0" w:line="240" w:lineRule="auto"/>
        <w:contextualSpacing/>
        <w:jc w:val="center"/>
        <w:rPr>
          <w:b/>
          <w:sz w:val="20"/>
          <w:szCs w:val="20"/>
        </w:rPr>
      </w:pPr>
      <w:r w:rsidRPr="00552DAB">
        <w:rPr>
          <w:b/>
          <w:sz w:val="20"/>
          <w:szCs w:val="20"/>
        </w:rPr>
        <w:lastRenderedPageBreak/>
        <w:t>Table 05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4500"/>
        <w:gridCol w:w="4361"/>
        <w:gridCol w:w="1417"/>
      </w:tblGrid>
      <w:tr w:rsidR="003021C2" w:rsidTr="0069435C">
        <w:tc>
          <w:tcPr>
            <w:tcW w:w="738" w:type="dxa"/>
            <w:shd w:val="clear" w:color="auto" w:fill="D9D9D9" w:themeFill="background1" w:themeFillShade="D9"/>
            <w:vAlign w:val="center"/>
          </w:tcPr>
          <w:p w:rsidR="00100BA7" w:rsidRPr="00100BA7" w:rsidRDefault="00100BA7" w:rsidP="00100BA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100BA7">
              <w:rPr>
                <w:b/>
                <w:sz w:val="20"/>
                <w:szCs w:val="20"/>
              </w:rPr>
              <w:t>Calculation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:rsidR="00100BA7" w:rsidRPr="00100BA7" w:rsidRDefault="00100BA7" w:rsidP="00552DAB">
            <w:pPr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Equation</w:t>
            </w:r>
          </w:p>
        </w:tc>
        <w:tc>
          <w:tcPr>
            <w:tcW w:w="4361" w:type="dxa"/>
            <w:shd w:val="clear" w:color="auto" w:fill="D9D9D9" w:themeFill="background1" w:themeFillShade="D9"/>
          </w:tcPr>
          <w:p w:rsidR="00100BA7" w:rsidRPr="00100BA7" w:rsidRDefault="00100BA7" w:rsidP="00552DAB">
            <w:pPr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Example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100BA7" w:rsidRPr="00100BA7" w:rsidRDefault="00100BA7" w:rsidP="00552DAB">
            <w:pPr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Explanation</w:t>
            </w:r>
          </w:p>
        </w:tc>
      </w:tr>
      <w:tr w:rsidR="003021C2" w:rsidTr="0069435C">
        <w:trPr>
          <w:cantSplit/>
          <w:trHeight w:val="1134"/>
        </w:trPr>
        <w:tc>
          <w:tcPr>
            <w:tcW w:w="738" w:type="dxa"/>
            <w:shd w:val="clear" w:color="auto" w:fill="D9D9D9" w:themeFill="background1" w:themeFillShade="D9"/>
            <w:textDirection w:val="btLr"/>
            <w:vAlign w:val="center"/>
          </w:tcPr>
          <w:p w:rsidR="00100BA7" w:rsidRPr="00100BA7" w:rsidRDefault="00100BA7" w:rsidP="0069435C">
            <w:pPr>
              <w:ind w:left="113" w:right="113"/>
              <w:contextualSpacing/>
              <w:jc w:val="center"/>
              <w:rPr>
                <w:b/>
                <w:sz w:val="20"/>
                <w:szCs w:val="20"/>
              </w:rPr>
            </w:pPr>
            <w:r w:rsidRPr="00100BA7">
              <w:rPr>
                <w:b/>
                <w:sz w:val="20"/>
                <w:szCs w:val="20"/>
              </w:rPr>
              <w:t xml:space="preserve">Volume Dispensed by </w:t>
            </w:r>
            <w:proofErr w:type="spellStart"/>
            <w:r w:rsidRPr="00100BA7">
              <w:rPr>
                <w:b/>
                <w:sz w:val="20"/>
                <w:szCs w:val="20"/>
              </w:rPr>
              <w:t>buret</w:t>
            </w:r>
            <w:proofErr w:type="spellEnd"/>
          </w:p>
        </w:tc>
        <w:tc>
          <w:tcPr>
            <w:tcW w:w="4500" w:type="dxa"/>
          </w:tcPr>
          <w:p w:rsidR="00100BA7" w:rsidRPr="00100BA7" w:rsidRDefault="00100BA7" w:rsidP="00100BA7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Vt=Vf-Vi</m:t>
                </m:r>
              </m:oMath>
            </m:oMathPara>
          </w:p>
          <w:p w:rsidR="00100BA7" w:rsidRPr="00100BA7" w:rsidRDefault="00100BA7" w:rsidP="00100BA7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361" w:type="dxa"/>
          </w:tcPr>
          <w:p w:rsidR="00100BA7" w:rsidRPr="00100BA7" w:rsidRDefault="00100BA7" w:rsidP="00100BA7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Vi=0.04 mL</m:t>
                </m:r>
              </m:oMath>
            </m:oMathPara>
          </w:p>
          <w:p w:rsidR="00100BA7" w:rsidRPr="00100BA7" w:rsidRDefault="00100BA7" w:rsidP="00100BA7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Vf=34.56 mL</m:t>
                </m:r>
              </m:oMath>
            </m:oMathPara>
          </w:p>
          <w:p w:rsidR="00100BA7" w:rsidRPr="00100BA7" w:rsidRDefault="00100BA7" w:rsidP="00100BA7">
            <w:pPr>
              <w:contextualSpacing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Vt=34.56-0.04=34.52 mL</m:t>
                </m:r>
              </m:oMath>
            </m:oMathPara>
          </w:p>
        </w:tc>
        <w:tc>
          <w:tcPr>
            <w:tcW w:w="1417" w:type="dxa"/>
          </w:tcPr>
          <w:p w:rsidR="00100BA7" w:rsidRPr="00100BA7" w:rsidRDefault="00100BA7" w:rsidP="00552DAB">
            <w:pPr>
              <w:contextualSpacing/>
              <w:jc w:val="center"/>
              <w:rPr>
                <w:sz w:val="20"/>
                <w:szCs w:val="20"/>
              </w:rPr>
            </w:pPr>
            <w:r w:rsidRPr="00100BA7">
              <w:rPr>
                <w:sz w:val="20"/>
                <w:szCs w:val="20"/>
              </w:rPr>
              <w:t xml:space="preserve">This calculation was used for finding the volume of </w:t>
            </w:r>
            <w:proofErr w:type="spellStart"/>
            <w:r w:rsidRPr="00100BA7">
              <w:rPr>
                <w:sz w:val="20"/>
                <w:szCs w:val="20"/>
              </w:rPr>
              <w:t>NaOH</w:t>
            </w:r>
            <w:proofErr w:type="spellEnd"/>
            <w:r w:rsidRPr="00100BA7">
              <w:rPr>
                <w:sz w:val="20"/>
                <w:szCs w:val="20"/>
              </w:rPr>
              <w:t xml:space="preserve"> dispensed by the </w:t>
            </w:r>
            <w:proofErr w:type="spellStart"/>
            <w:r w:rsidRPr="00100BA7">
              <w:rPr>
                <w:sz w:val="20"/>
                <w:szCs w:val="20"/>
              </w:rPr>
              <w:t>buret</w:t>
            </w:r>
            <w:proofErr w:type="spellEnd"/>
            <w:r w:rsidRPr="00100BA7">
              <w:rPr>
                <w:sz w:val="20"/>
                <w:szCs w:val="20"/>
              </w:rPr>
              <w:t xml:space="preserve"> in both the Standardization and Neutralization</w:t>
            </w:r>
          </w:p>
        </w:tc>
      </w:tr>
      <w:tr w:rsidR="003021C2" w:rsidTr="0069435C">
        <w:trPr>
          <w:cantSplit/>
          <w:trHeight w:val="1134"/>
        </w:trPr>
        <w:tc>
          <w:tcPr>
            <w:tcW w:w="738" w:type="dxa"/>
            <w:shd w:val="clear" w:color="auto" w:fill="D9D9D9" w:themeFill="background1" w:themeFillShade="D9"/>
            <w:textDirection w:val="btLr"/>
            <w:vAlign w:val="center"/>
          </w:tcPr>
          <w:p w:rsidR="00100BA7" w:rsidRPr="00100BA7" w:rsidRDefault="00100BA7" w:rsidP="0069435C">
            <w:pPr>
              <w:ind w:left="113" w:right="113"/>
              <w:contextualSpacing/>
              <w:jc w:val="center"/>
              <w:rPr>
                <w:b/>
                <w:sz w:val="20"/>
                <w:szCs w:val="20"/>
              </w:rPr>
            </w:pPr>
            <w:r w:rsidRPr="00100BA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g --&gt; </w:t>
            </w:r>
            <w:proofErr w:type="spellStart"/>
            <w:r w:rsidRPr="00100BA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mol</w:t>
            </w:r>
            <w:proofErr w:type="spellEnd"/>
            <w:r w:rsidRPr="00100BA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 conversion</w:t>
            </w:r>
          </w:p>
        </w:tc>
        <w:tc>
          <w:tcPr>
            <w:tcW w:w="4500" w:type="dxa"/>
          </w:tcPr>
          <w:p w:rsidR="00100BA7" w:rsidRPr="00100BA7" w:rsidRDefault="00100BA7" w:rsidP="00100BA7">
            <w:pPr>
              <w:contextualSpacing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 xml:space="preserve">grams x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moles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grams 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=moles</m:t>
                </m:r>
              </m:oMath>
            </m:oMathPara>
          </w:p>
        </w:tc>
        <w:tc>
          <w:tcPr>
            <w:tcW w:w="4361" w:type="dxa"/>
          </w:tcPr>
          <w:p w:rsidR="00100BA7" w:rsidRPr="00100BA7" w:rsidRDefault="00100BA7" w:rsidP="00100BA7">
            <w:pPr>
              <w:contextualSpacing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 xml:space="preserve">20.00 g H2O x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 mol H2O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18.02 g H2O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=1.11 mol H2O</m:t>
                </m:r>
              </m:oMath>
            </m:oMathPara>
          </w:p>
        </w:tc>
        <w:tc>
          <w:tcPr>
            <w:tcW w:w="1417" w:type="dxa"/>
          </w:tcPr>
          <w:p w:rsidR="00100BA7" w:rsidRPr="00100BA7" w:rsidRDefault="003021C2" w:rsidP="00552DA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mass of KHP was measured out during the lab and dissolved into water, in order for the molarity to be calculated the #moles was needed</w:t>
            </w:r>
          </w:p>
        </w:tc>
      </w:tr>
      <w:tr w:rsidR="003021C2" w:rsidTr="0069435C">
        <w:trPr>
          <w:cantSplit/>
          <w:trHeight w:val="1134"/>
        </w:trPr>
        <w:tc>
          <w:tcPr>
            <w:tcW w:w="738" w:type="dxa"/>
            <w:shd w:val="clear" w:color="auto" w:fill="D9D9D9" w:themeFill="background1" w:themeFillShade="D9"/>
            <w:textDirection w:val="btLr"/>
            <w:vAlign w:val="center"/>
          </w:tcPr>
          <w:p w:rsidR="00100BA7" w:rsidRPr="00100BA7" w:rsidRDefault="00100BA7" w:rsidP="0069435C">
            <w:pPr>
              <w:ind w:left="113" w:right="113"/>
              <w:contextualSpacing/>
              <w:jc w:val="center"/>
              <w:rPr>
                <w:b/>
                <w:sz w:val="20"/>
                <w:szCs w:val="20"/>
              </w:rPr>
            </w:pPr>
            <w:r w:rsidRPr="00100BA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Molarity</w:t>
            </w:r>
          </w:p>
        </w:tc>
        <w:tc>
          <w:tcPr>
            <w:tcW w:w="4500" w:type="dxa"/>
          </w:tcPr>
          <w:p w:rsidR="00100BA7" w:rsidRPr="00100BA7" w:rsidRDefault="003021C2" w:rsidP="003021C2">
            <w:pPr>
              <w:contextualSpacing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 xml:space="preserve">Molarity=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mole solute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liters of solution</m:t>
                    </m:r>
                  </m:den>
                </m:f>
              </m:oMath>
            </m:oMathPara>
          </w:p>
        </w:tc>
        <w:tc>
          <w:tcPr>
            <w:tcW w:w="4361" w:type="dxa"/>
          </w:tcPr>
          <w:p w:rsidR="00100BA7" w:rsidRPr="0069435C" w:rsidRDefault="0069435C" w:rsidP="0069435C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5.0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20 moles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4.0 L </m:t>
                    </m:r>
                  </m:den>
                </m:f>
              </m:oMath>
            </m:oMathPara>
          </w:p>
          <w:p w:rsidR="0069435C" w:rsidRDefault="0069435C" w:rsidP="0069435C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69435C" w:rsidRPr="00100BA7" w:rsidRDefault="0069435C" w:rsidP="0069435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When 20moles of solute is dissolved in 4.0 L of solution, a 5.0 M solution results</w:t>
            </w:r>
          </w:p>
        </w:tc>
        <w:tc>
          <w:tcPr>
            <w:tcW w:w="1417" w:type="dxa"/>
          </w:tcPr>
          <w:p w:rsidR="00100BA7" w:rsidRPr="00100BA7" w:rsidRDefault="0069435C" w:rsidP="00552DA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moles of solute dissolved in 1.0 L solution is the concentration (molarity)</w:t>
            </w:r>
          </w:p>
        </w:tc>
      </w:tr>
      <w:tr w:rsidR="003021C2" w:rsidTr="0069435C">
        <w:trPr>
          <w:cantSplit/>
          <w:trHeight w:val="1134"/>
        </w:trPr>
        <w:tc>
          <w:tcPr>
            <w:tcW w:w="738" w:type="dxa"/>
            <w:shd w:val="clear" w:color="auto" w:fill="D9D9D9" w:themeFill="background1" w:themeFillShade="D9"/>
            <w:textDirection w:val="btLr"/>
            <w:vAlign w:val="center"/>
          </w:tcPr>
          <w:p w:rsidR="00100BA7" w:rsidRPr="00100BA7" w:rsidRDefault="00100BA7" w:rsidP="0069435C">
            <w:pPr>
              <w:ind w:left="113" w:right="113"/>
              <w:contextualSpacing/>
              <w:jc w:val="center"/>
              <w:rPr>
                <w:b/>
                <w:sz w:val="20"/>
                <w:szCs w:val="20"/>
              </w:rPr>
            </w:pPr>
            <w:r w:rsidRPr="00100BA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Titration</w:t>
            </w:r>
          </w:p>
        </w:tc>
        <w:tc>
          <w:tcPr>
            <w:tcW w:w="4500" w:type="dxa"/>
          </w:tcPr>
          <w:p w:rsidR="00100BA7" w:rsidRPr="00100BA7" w:rsidRDefault="003021C2" w:rsidP="003021C2">
            <w:pPr>
              <w:contextualSpacing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Ma x Va=Mb x Vb</m:t>
                </m:r>
              </m:oMath>
            </m:oMathPara>
          </w:p>
        </w:tc>
        <w:tc>
          <w:tcPr>
            <w:tcW w:w="4361" w:type="dxa"/>
          </w:tcPr>
          <w:p w:rsidR="00100BA7" w:rsidRPr="0069435C" w:rsidRDefault="0069435C" w:rsidP="0069435C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0.5M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x 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100mL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0.25M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x 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200mL</m:t>
                </m:r>
              </m:oMath>
            </m:oMathPara>
          </w:p>
          <w:p w:rsidR="0069435C" w:rsidRDefault="0069435C" w:rsidP="0069435C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69435C" w:rsidRPr="00100BA7" w:rsidRDefault="0069435C" w:rsidP="0069435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The amount of moles in 100 mL of 5.0M solution is the same as that in twice the volume of diluted solution ½ the concentration</w:t>
            </w:r>
          </w:p>
        </w:tc>
        <w:tc>
          <w:tcPr>
            <w:tcW w:w="1417" w:type="dxa"/>
          </w:tcPr>
          <w:p w:rsidR="00100BA7" w:rsidRPr="00100BA7" w:rsidRDefault="0069435C" w:rsidP="00552DA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titration equation is very similar to the dilution equation and is used to determine equivalent moles of each</w:t>
            </w:r>
          </w:p>
        </w:tc>
      </w:tr>
      <w:tr w:rsidR="003021C2" w:rsidTr="0069435C">
        <w:trPr>
          <w:cantSplit/>
          <w:trHeight w:val="1134"/>
        </w:trPr>
        <w:tc>
          <w:tcPr>
            <w:tcW w:w="738" w:type="dxa"/>
            <w:shd w:val="clear" w:color="auto" w:fill="D9D9D9" w:themeFill="background1" w:themeFillShade="D9"/>
            <w:textDirection w:val="btLr"/>
            <w:vAlign w:val="center"/>
          </w:tcPr>
          <w:p w:rsidR="00100BA7" w:rsidRPr="00100BA7" w:rsidRDefault="00100BA7" w:rsidP="0069435C">
            <w:pPr>
              <w:ind w:left="113" w:right="113"/>
              <w:contextualSpacing/>
              <w:jc w:val="center"/>
              <w:rPr>
                <w:b/>
                <w:sz w:val="20"/>
                <w:szCs w:val="20"/>
              </w:rPr>
            </w:pPr>
            <w:r w:rsidRPr="00100BA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Average</w:t>
            </w:r>
          </w:p>
        </w:tc>
        <w:tc>
          <w:tcPr>
            <w:tcW w:w="4500" w:type="dxa"/>
          </w:tcPr>
          <w:p w:rsidR="00100BA7" w:rsidRPr="00100BA7" w:rsidRDefault="003021C2" w:rsidP="003021C2">
            <w:pPr>
              <w:contextualSpacing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 xml:space="preserve">Average of A&amp;B=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A+B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4361" w:type="dxa"/>
          </w:tcPr>
          <w:p w:rsidR="00100BA7" w:rsidRPr="00100BA7" w:rsidRDefault="0069435C" w:rsidP="0069435C">
            <w:pPr>
              <w:contextualSpacing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5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4+6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417" w:type="dxa"/>
          </w:tcPr>
          <w:p w:rsidR="00100BA7" w:rsidRPr="00100BA7" w:rsidRDefault="0069435C" w:rsidP="00552DA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is the simple average, calculated since 2</w:t>
            </w:r>
            <w:r w:rsidRPr="0069435C">
              <w:rPr>
                <w:sz w:val="20"/>
                <w:szCs w:val="20"/>
                <w:vertAlign w:val="superscript"/>
              </w:rPr>
              <w:t>nd</w:t>
            </w:r>
            <w:r>
              <w:rPr>
                <w:sz w:val="20"/>
                <w:szCs w:val="20"/>
              </w:rPr>
              <w:t xml:space="preserve"> grade </w:t>
            </w:r>
            <w:r w:rsidRPr="0069435C">
              <w:rPr>
                <w:sz w:val="20"/>
                <w:szCs w:val="20"/>
              </w:rPr>
              <w:sym w:font="Wingdings" w:char="F04A"/>
            </w:r>
          </w:p>
        </w:tc>
      </w:tr>
      <w:tr w:rsidR="003021C2" w:rsidTr="0069435C">
        <w:trPr>
          <w:cantSplit/>
          <w:trHeight w:val="1134"/>
        </w:trPr>
        <w:tc>
          <w:tcPr>
            <w:tcW w:w="738" w:type="dxa"/>
            <w:shd w:val="clear" w:color="auto" w:fill="D9D9D9" w:themeFill="background1" w:themeFillShade="D9"/>
            <w:textDirection w:val="btLr"/>
            <w:vAlign w:val="center"/>
          </w:tcPr>
          <w:p w:rsidR="00100BA7" w:rsidRPr="00100BA7" w:rsidRDefault="00100BA7" w:rsidP="0069435C">
            <w:pPr>
              <w:ind w:left="113" w:right="113"/>
              <w:contextualSpacing/>
              <w:jc w:val="center"/>
              <w:rPr>
                <w:b/>
                <w:sz w:val="20"/>
                <w:szCs w:val="20"/>
              </w:rPr>
            </w:pPr>
            <w:r w:rsidRPr="00100BA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Percent Error</w:t>
            </w:r>
          </w:p>
        </w:tc>
        <w:tc>
          <w:tcPr>
            <w:tcW w:w="4500" w:type="dxa"/>
          </w:tcPr>
          <w:p w:rsidR="00100BA7" w:rsidRPr="003021C2" w:rsidRDefault="003021C2" w:rsidP="003021C2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 xml:space="preserve">% Error= 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Theoretical-Experimental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Theoretical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:rsidR="003021C2" w:rsidRPr="00100BA7" w:rsidRDefault="003021C2" w:rsidP="003021C2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361" w:type="dxa"/>
          </w:tcPr>
          <w:p w:rsidR="003021C2" w:rsidRPr="003021C2" w:rsidRDefault="0069435C" w:rsidP="003021C2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4%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 xml:space="preserve">= 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25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24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25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:rsidR="00100BA7" w:rsidRDefault="00100BA7" w:rsidP="00552DAB">
            <w:pPr>
              <w:contextualSpacing/>
              <w:jc w:val="center"/>
              <w:rPr>
                <w:sz w:val="20"/>
                <w:szCs w:val="20"/>
              </w:rPr>
            </w:pPr>
          </w:p>
          <w:p w:rsidR="0069435C" w:rsidRPr="00100BA7" w:rsidRDefault="0069435C" w:rsidP="00552DA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percent difference between </w:t>
            </w:r>
            <w:r w:rsidR="00495627">
              <w:rPr>
                <w:sz w:val="20"/>
                <w:szCs w:val="20"/>
              </w:rPr>
              <w:t xml:space="preserve">the theoretical and experimental values were calculated as 4% </w:t>
            </w:r>
            <w:bookmarkStart w:id="0" w:name="_GoBack"/>
            <w:bookmarkEnd w:id="0"/>
          </w:p>
        </w:tc>
        <w:tc>
          <w:tcPr>
            <w:tcW w:w="1417" w:type="dxa"/>
          </w:tcPr>
          <w:p w:rsidR="00100BA7" w:rsidRPr="00100BA7" w:rsidRDefault="0069435C" w:rsidP="00552DA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percent error is a display of the difference between the accepted and experimental values</w:t>
            </w:r>
          </w:p>
        </w:tc>
      </w:tr>
      <w:tr w:rsidR="003021C2" w:rsidTr="0069435C">
        <w:trPr>
          <w:cantSplit/>
          <w:trHeight w:val="1134"/>
        </w:trPr>
        <w:tc>
          <w:tcPr>
            <w:tcW w:w="738" w:type="dxa"/>
            <w:shd w:val="clear" w:color="auto" w:fill="D9D9D9" w:themeFill="background1" w:themeFillShade="D9"/>
            <w:textDirection w:val="btLr"/>
            <w:vAlign w:val="center"/>
          </w:tcPr>
          <w:p w:rsidR="00100BA7" w:rsidRPr="00100BA7" w:rsidRDefault="00100BA7" w:rsidP="0069435C">
            <w:pPr>
              <w:ind w:left="113" w:right="113"/>
              <w:contextualSpacing/>
              <w:jc w:val="center"/>
              <w:rPr>
                <w:b/>
                <w:sz w:val="20"/>
                <w:szCs w:val="20"/>
              </w:rPr>
            </w:pPr>
            <w:r w:rsidRPr="00100BA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lastRenderedPageBreak/>
              <w:t>Percent Acetic Acid in Vinegar</w:t>
            </w:r>
          </w:p>
        </w:tc>
        <w:tc>
          <w:tcPr>
            <w:tcW w:w="4500" w:type="dxa"/>
          </w:tcPr>
          <w:p w:rsidR="003021C2" w:rsidRDefault="003021C2" w:rsidP="003021C2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100BA7" w:rsidRPr="003021C2" w:rsidRDefault="003021C2" w:rsidP="003021C2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mol acid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 H2O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x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g acid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mol acid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x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 H2O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mL H2O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x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mL H2O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gH2O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x100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g acid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g H2O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</m:t>
                </m:r>
              </m:oMath>
            </m:oMathPara>
          </w:p>
          <w:p w:rsidR="003021C2" w:rsidRPr="00100BA7" w:rsidRDefault="003021C2" w:rsidP="003021C2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361" w:type="dxa"/>
          </w:tcPr>
          <w:p w:rsidR="0069435C" w:rsidRDefault="0069435C" w:rsidP="003021C2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495627" w:rsidRPr="00495627" w:rsidRDefault="003021C2" w:rsidP="003021C2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0.83 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mol acid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 H2O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x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60.05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 acid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mol acid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x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 H2O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1000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mL H2O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</m:t>
                </m:r>
              </m:oMath>
            </m:oMathPara>
          </w:p>
          <w:p w:rsidR="003021C2" w:rsidRPr="003021C2" w:rsidRDefault="003021C2" w:rsidP="003021C2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 xml:space="preserve">x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1 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mL H2O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1 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gH2O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 xml:space="preserve">x100 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 xml:space="preserve">4.98% 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</m:t>
                </m:r>
              </m:oMath>
            </m:oMathPara>
          </w:p>
          <w:p w:rsidR="00100BA7" w:rsidRPr="00100BA7" w:rsidRDefault="00495627" w:rsidP="00552DA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percent acetic acid in vinegar is found using the molarity of vinegar found during titration, the molar mass of vinegar, and known properties of water</w:t>
            </w:r>
          </w:p>
        </w:tc>
        <w:tc>
          <w:tcPr>
            <w:tcW w:w="1417" w:type="dxa"/>
          </w:tcPr>
          <w:p w:rsidR="00100BA7" w:rsidRPr="00100BA7" w:rsidRDefault="0069435C" w:rsidP="00552DA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order to solve for the percent acetic acid in vinegar, the units must be tracked and % AA by mass solved for</w:t>
            </w:r>
          </w:p>
        </w:tc>
      </w:tr>
    </w:tbl>
    <w:p w:rsidR="00552DAB" w:rsidRPr="00552DAB" w:rsidRDefault="00552DAB" w:rsidP="00552DAB">
      <w:pPr>
        <w:spacing w:after="0" w:line="240" w:lineRule="auto"/>
        <w:contextualSpacing/>
        <w:jc w:val="center"/>
        <w:rPr>
          <w:b/>
          <w:sz w:val="20"/>
          <w:szCs w:val="20"/>
        </w:rPr>
      </w:pPr>
    </w:p>
    <w:sectPr w:rsidR="00552DAB" w:rsidRPr="00552DAB" w:rsidSect="00552D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DAB"/>
    <w:rsid w:val="00100BA7"/>
    <w:rsid w:val="003021C2"/>
    <w:rsid w:val="00495627"/>
    <w:rsid w:val="00552DAB"/>
    <w:rsid w:val="0069435C"/>
    <w:rsid w:val="009D76A0"/>
    <w:rsid w:val="00B4607E"/>
    <w:rsid w:val="00D00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0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00BA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0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B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0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00BA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0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B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Brakke</dc:creator>
  <cp:keywords/>
  <dc:description/>
  <cp:lastModifiedBy>Brakke</cp:lastModifiedBy>
  <cp:revision>4</cp:revision>
  <cp:lastPrinted>2011-03-01T13:01:00Z</cp:lastPrinted>
  <dcterms:created xsi:type="dcterms:W3CDTF">2011-02-28T17:46:00Z</dcterms:created>
  <dcterms:modified xsi:type="dcterms:W3CDTF">2011-03-01T20:04:00Z</dcterms:modified>
</cp:coreProperties>
</file>